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h.5nmebq91ji1r" w:id="0"/>
      <w:bookmarkEnd w:id="0"/>
      <w:r w:rsidDel="00000000" w:rsidR="00000000" w:rsidRPr="00000000">
        <w:rPr>
          <w:rtl w:val="0"/>
        </w:rPr>
        <w:t xml:space="preserve">Принцип 1. Технологии — спрятать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С одной стороны, люди не должны знать, что данные для ИПШ агрегируются из ЕСИА и ЕЛК и отправляются через ГЭПС. Человек просто заходит на госуслуги и получает паспорт, записывается к врачу, становится в очередь в садик.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Поэтому первый принцип: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sz w:val="40"/>
          <w:szCs w:val="40"/>
          <w:rtl w:val="0"/>
        </w:rPr>
        <w:t xml:space="preserve">Если можно обойтись без обозначения внутренних продуктов, технологий и брендов, лучше обойтись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Принцип касается всех случаев, когда понимание тонкой специфики брендинга не влияет на исход получения услуги. Проще говоря, </w:t>
      </w:r>
      <w:r w:rsidDel="00000000" w:rsidR="00000000" w:rsidRPr="00000000">
        <w:rPr>
          <w:b w:val="1"/>
          <w:rtl w:val="0"/>
        </w:rPr>
        <w:t xml:space="preserve">если человек ничего не может сделать с этой информацией, ему не надо ее знать.</w:t>
      </w:r>
    </w:p>
    <w:tbl>
      <w:tblPr>
        <w:tblStyle w:val="Table1"/>
        <w:bidi w:val="0"/>
        <w:tblW w:w="8220.0" w:type="dxa"/>
        <w:jc w:val="left"/>
        <w:tblInd w:w="780.0" w:type="dxa"/>
        <w:tblLayout w:type="fixed"/>
        <w:tblLook w:val="0600"/>
      </w:tblPr>
      <w:tblGrid>
        <w:gridCol w:w="3720"/>
        <w:gridCol w:w="4500"/>
        <w:tblGridChange w:id="0">
          <w:tblGrid>
            <w:gridCol w:w="3720"/>
            <w:gridCol w:w="450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Нет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Да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Войдите в ЕЛК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Войдите на Госуслуги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Воспользуйтесь ЕСИА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Войдите на Госуслуги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Запрос данных из ГИС ГМП...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Получаем информацию...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Ищите через Госбар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Введите в поиске (+ картинка)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Соблюдение этого принципа критически важно. Дело не в том, как мы назовем бренды. Дело в том, что людям не нужно знать название брендов. Вообще.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У людей должна быть одна, единая и неделимая, устойчивая и несокрушимая точка входа — госуслуги. То, что под этим брендом есть еще ведомства, министерства, системы, подсистемы и шлюзы — это только подкашивает уверенность в том, что ты общаешься с надежной системой.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sz w:val="40"/>
          <w:szCs w:val="40"/>
          <w:rtl w:val="0"/>
        </w:rPr>
        <w:t xml:space="preserve">Госуслуги — единая точка контакта с государством. 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sz w:val="40"/>
          <w:szCs w:val="40"/>
          <w:rtl w:val="0"/>
        </w:rPr>
        <w:t xml:space="preserve">Для людей госуслуги — это и есть государство.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sz w:val="40"/>
          <w:szCs w:val="40"/>
          <w:rtl w:val="0"/>
        </w:rPr>
        <w:t xml:space="preserve">Лучший бренд — </w:t>
      </w:r>
      <w:r w:rsidDel="00000000" w:rsidR="00000000" w:rsidRPr="00000000">
        <w:rPr>
          <w:b w:val="1"/>
          <w:sz w:val="40"/>
          <w:szCs w:val="40"/>
          <w:rtl w:val="0"/>
        </w:rPr>
        <w:t xml:space="preserve">госуслуги</w:t>
      </w:r>
      <w:r w:rsidDel="00000000" w:rsidR="00000000" w:rsidRPr="00000000">
        <w:rPr>
          <w:sz w:val="40"/>
          <w:szCs w:val="40"/>
          <w:rtl w:val="0"/>
        </w:rPr>
        <w:t xml:space="preserve">.</w:t>
        <w:br w:type="textWrapping"/>
        <w:tab/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h.78nu4rtspqer" w:id="1"/>
      <w:bookmarkEnd w:id="1"/>
      <w:r w:rsidDel="00000000" w:rsidR="00000000" w:rsidRPr="00000000">
        <w:rPr>
          <w:rtl w:val="0"/>
        </w:rPr>
        <w:t xml:space="preserve">Принцип 2. В образовательных целях пользу — вперед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Иногда в тексте соцсетей, помощи, ошибок, руководств и т. д. нам все-таки нужно объяснить, как что работает. Это материалы для любознательных. В таких случаях мы вынуждены называть системы.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Если текст направлен наружу, то есть пользователям госуслуг, то в первую очередь стремимся назвать систему одним простым словом или знакомым человеку термином.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Arial Unicode MS" w:cs="Arial Unicode MS" w:eastAsia="Arial Unicode MS" w:hAnsi="Arial Unicode MS"/>
          <w:sz w:val="40"/>
          <w:szCs w:val="40"/>
          <w:rtl w:val="0"/>
        </w:rPr>
        <w:t xml:space="preserve">Стараемся назвать системы знакомыми человеку терминами:</w:t>
        <w:br w:type="textWrapping"/>
        <w:t xml:space="preserve">ИПШ → платежная система</w:t>
      </w:r>
    </w:p>
    <w:tbl>
      <w:tblPr>
        <w:tblStyle w:val="Table2"/>
        <w:bidi w:val="0"/>
        <w:tblW w:w="9015.0" w:type="dxa"/>
        <w:jc w:val="left"/>
        <w:tblLayout w:type="fixed"/>
        <w:tblLook w:val="0600"/>
      </w:tblPr>
      <w:tblGrid>
        <w:gridCol w:w="1485"/>
        <w:gridCol w:w="1845"/>
        <w:gridCol w:w="5685"/>
        <w:tblGridChange w:id="0">
          <w:tblGrid>
            <w:gridCol w:w="1485"/>
            <w:gridCol w:w="1845"/>
            <w:gridCol w:w="568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Сокращенно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Расшифровка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Название и пример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ЦПП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Центр поддержки пользователей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Служба поддержки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Если вам понадобится помощь — обратитесь </w:t>
            </w:r>
            <w:r w:rsidDel="00000000" w:rsidR="00000000" w:rsidRPr="00000000">
              <w:rPr>
                <w:b w:val="1"/>
                <w:rtl w:val="0"/>
              </w:rPr>
              <w:t xml:space="preserve">в службу поддержки</w:t>
            </w:r>
            <w:r w:rsidDel="00000000" w:rsidR="00000000" w:rsidRPr="00000000">
              <w:rPr>
                <w:rtl w:val="0"/>
              </w:rPr>
              <w:t xml:space="preserve">. Сотрудники службы помогут…</w:t>
              <w:br w:type="textWrapping"/>
              <w:br w:type="textWrapping"/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ФРГУ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Федеральный реестр госуслуг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Реестр госуслуг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Все госуслуги России хранятся </w:t>
            </w:r>
            <w:r w:rsidDel="00000000" w:rsidR="00000000" w:rsidRPr="00000000">
              <w:rPr>
                <w:b w:val="1"/>
                <w:rtl w:val="0"/>
              </w:rPr>
              <w:t xml:space="preserve">в реестре госуслуг</w:t>
            </w:r>
            <w:r w:rsidDel="00000000" w:rsidR="00000000" w:rsidRPr="00000000">
              <w:rPr>
                <w:rtl w:val="0"/>
              </w:rPr>
              <w:t xml:space="preserve"> — это сайт, на котором чиновники обновляют информацию о тех услугах, которые они оказывают людям. </w:t>
            </w:r>
            <w:r w:rsidDel="00000000" w:rsidR="00000000" w:rsidRPr="00000000">
              <w:rPr>
                <w:b w:val="1"/>
                <w:rtl w:val="0"/>
              </w:rPr>
              <w:t xml:space="preserve">Реестр</w:t>
            </w:r>
            <w:r w:rsidDel="00000000" w:rsidR="00000000" w:rsidRPr="00000000">
              <w:rPr>
                <w:rtl w:val="0"/>
              </w:rPr>
              <w:t xml:space="preserve"> работает на сайте...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ЕЛК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Единый личный кабинет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Личный кабинет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Чтобы вам было удобно следить за своими обращениями, мы создали </w:t>
            </w:r>
            <w:r w:rsidDel="00000000" w:rsidR="00000000" w:rsidRPr="00000000">
              <w:rPr>
                <w:b w:val="1"/>
                <w:rtl w:val="0"/>
              </w:rPr>
              <w:t xml:space="preserve">личный кабинет </w:t>
            </w:r>
            <w:r w:rsidDel="00000000" w:rsidR="00000000" w:rsidRPr="00000000">
              <w:rPr>
                <w:rtl w:val="0"/>
              </w:rPr>
              <w:t xml:space="preserve"> — это место на сайте, где видны те госуслуги, которыми вы пользуетесь. </w:t>
            </w:r>
            <w:r w:rsidDel="00000000" w:rsidR="00000000" w:rsidRPr="00000000">
              <w:rPr>
                <w:b w:val="1"/>
                <w:rtl w:val="0"/>
              </w:rPr>
              <w:t xml:space="preserve">В личном кабинете</w:t>
            </w:r>
            <w:r w:rsidDel="00000000" w:rsidR="00000000" w:rsidRPr="00000000">
              <w:rPr>
                <w:rtl w:val="0"/>
              </w:rPr>
              <w:t xml:space="preserve"> мы показываем…</w:t>
              <w:br w:type="textWrapping"/>
              <w:br w:type="textWrapping"/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ИПШ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Информационно-платежный шлюз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(Специальная) платежная система 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Платежи за госуслуги проводит </w:t>
            </w:r>
            <w:r w:rsidDel="00000000" w:rsidR="00000000" w:rsidRPr="00000000">
              <w:rPr>
                <w:b w:val="1"/>
                <w:rtl w:val="0"/>
              </w:rPr>
              <w:t xml:space="preserve">специальная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платежная система</w:t>
            </w:r>
            <w:r w:rsidDel="00000000" w:rsidR="00000000" w:rsidRPr="00000000">
              <w:rPr>
                <w:rtl w:val="0"/>
              </w:rPr>
              <w:t xml:space="preserve">, которая отвечает за то, чтобы ваши деньги поступили в нужное ведомство и были правильно зачислены. </w:t>
            </w:r>
            <w:r w:rsidDel="00000000" w:rsidR="00000000" w:rsidRPr="00000000">
              <w:rPr>
                <w:b w:val="1"/>
                <w:rtl w:val="0"/>
              </w:rPr>
              <w:t xml:space="preserve">Платежная система</w:t>
            </w:r>
            <w:r w:rsidDel="00000000" w:rsidR="00000000" w:rsidRPr="00000000">
              <w:rPr>
                <w:rtl w:val="0"/>
              </w:rPr>
              <w:t xml:space="preserve"> госуслуг работает так же, как и…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ГИС ГМП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Система государственных и муниципальных платежей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(Специальная) б</w:t>
            </w:r>
            <w:r w:rsidDel="00000000" w:rsidR="00000000" w:rsidRPr="00000000">
              <w:rPr>
                <w:rtl w:val="0"/>
              </w:rPr>
              <w:t xml:space="preserve">аза платежей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Все платежи и задолженности хранятся в </w:t>
            </w:r>
            <w:r w:rsidDel="00000000" w:rsidR="00000000" w:rsidRPr="00000000">
              <w:rPr>
                <w:b w:val="1"/>
                <w:rtl w:val="0"/>
              </w:rPr>
              <w:t xml:space="preserve">базе платежей</w:t>
              <w:br w:type="textWrapping"/>
              <w:br w:type="textWrapping"/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ИОД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Инфраструктура общественного доступа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Инфомат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В отделении пенсионного фонда стоят </w:t>
            </w:r>
            <w:r w:rsidDel="00000000" w:rsidR="00000000" w:rsidRPr="00000000">
              <w:rPr>
                <w:b w:val="1"/>
                <w:rtl w:val="0"/>
              </w:rPr>
              <w:t xml:space="preserve">инфоматы</w:t>
            </w:r>
            <w:r w:rsidDel="00000000" w:rsidR="00000000" w:rsidRPr="00000000">
              <w:rPr>
                <w:rtl w:val="0"/>
              </w:rPr>
              <w:t xml:space="preserve"> — терминалы с экранами, на которых можно…</w:t>
              <w:br w:type="textWrapping"/>
              <w:br w:type="textWrapping"/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ФГИС ДО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Информационная система досудебного обжалования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(Система) досудебного обжалования</w:t>
              <w:br w:type="textWrapping"/>
              <w:br w:type="textWrapping"/>
              <w:t xml:space="preserve">Подключайте свои услуги к системе досудебного обжалования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ГЭПС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Гос. электр. почтовая система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Государственная электронная почта, электронная госпочта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Приглашение вам придет </w:t>
            </w:r>
            <w:r w:rsidDel="00000000" w:rsidR="00000000" w:rsidRPr="00000000">
              <w:rPr>
                <w:b w:val="1"/>
                <w:rtl w:val="0"/>
              </w:rPr>
              <w:t xml:space="preserve">по электронной госпочте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Когда документы будут готовы, мы сообщим вам по электронной госпочте на адрес maxim.ilyahov@yandex.ru 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h.1uvd00uzna0f" w:id="2"/>
      <w:bookmarkEnd w:id="2"/>
      <w:r w:rsidDel="00000000" w:rsidR="00000000" w:rsidRPr="00000000">
        <w:rPr>
          <w:rtl w:val="0"/>
        </w:rPr>
        <w:t xml:space="preserve">Принцип 3. Внутри оставляем как было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Если текст направлен внутрь (общение между ведомствами, внутри министерства и т. д.), то суббренды должны остаться такими, какие они есть сейчас. Не трогаем то, к чему все внутри привыкли: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Пример: </w:t>
      </w:r>
      <w:r w:rsidDel="00000000" w:rsidR="00000000" w:rsidRPr="00000000">
        <w:rPr>
          <w:b w:val="1"/>
          <w:rtl w:val="0"/>
        </w:rPr>
        <w:t xml:space="preserve">Разработчикам ЕСИА и ЕЛК: учесть введение ЭЦП во ФГИС ДО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Не нужно применять упрощенные названия систем для внутреннего общения с сотрудниками госуслуг, чиновниками и ведомствами. В их работе важна техническая точность и абсолютная корректность формулировок, поэтому для них все остается как было.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sz w:val="40"/>
          <w:szCs w:val="40"/>
          <w:rtl w:val="0"/>
        </w:rPr>
        <w:t xml:space="preserve">Для внутреннего общения оставляем старые термины</w:t>
      </w:r>
    </w:p>
    <w:sectPr>
      <w:pgSz w:h="16838" w:w="11906"/>
      <w:pgMar w:bottom="1440.0000000000002" w:top="1440.0000000000002" w:left="1440.0000000000002" w:right="1440.000000000000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0"/>
        <w:spacing w:after="200" w:before="0" w:line="276" w:lineRule="auto"/>
        <w:ind w:left="0" w:right="0" w:firstLine="0"/>
        <w:contextualSpacing w:val="1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spacing w:after="120" w:before="480" w:lineRule="auto"/>
      <w:contextualSpacing w:val="1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spacing w:after="80" w:before="360" w:lineRule="auto"/>
      <w:contextualSpacing w:val="1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spacing w:after="0" w:before="28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spacing w:after="40" w:before="240" w:lineRule="auto"/>
      <w:contextualSpacing w:val="1"/>
    </w:pPr>
    <w:rPr>
      <w:i w:val="1"/>
      <w:color w:val="666666"/>
      <w:sz w:val="22"/>
      <w:szCs w:val="22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spacing w:after="40" w:before="220" w:lineRule="auto"/>
      <w:contextualSpacing w:val="1"/>
    </w:pPr>
    <w:rPr>
      <w:b w:val="1"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spacing w:after="40" w:before="200" w:lineRule="auto"/>
      <w:contextualSpacing w:val="1"/>
    </w:pPr>
    <w:rPr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