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c1hnodapgh32" w:id="0"/>
      <w:bookmarkEnd w:id="0"/>
      <w:r w:rsidDel="00000000" w:rsidR="00000000" w:rsidRPr="00000000">
        <w:rPr>
          <w:sz w:val="48"/>
          <w:szCs w:val="48"/>
          <w:rtl w:val="0"/>
        </w:rPr>
        <w:t xml:space="preserve">Руководство по организации интервью и предоставлению комментариев СМИ</w:t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eun8hrifuvjy" w:id="1"/>
      <w:bookmarkEnd w:id="1"/>
      <w:r w:rsidDel="00000000" w:rsidR="00000000" w:rsidRPr="00000000">
        <w:rPr>
          <w:rtl w:val="0"/>
        </w:rPr>
        <w:t xml:space="preserve">Информационные поводы для контакта со СМИ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Возможные информационные поводы для запуска процесса общения со СМИ, проведения интервью, выпуска пресс-релизов: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rtl w:val="0"/>
        </w:rPr>
        <w:tab/>
        <w:t xml:space="preserve">выпустили новую возможность или услугу, ей можно пользоваться;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rtl w:val="0"/>
        </w:rPr>
        <w:tab/>
        <w:t xml:space="preserve">усовершенствовали новую возможность;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rtl w:val="0"/>
        </w:rPr>
        <w:tab/>
        <w:t xml:space="preserve">планируют отключать или менять существующую возможность;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скоро произойдут изменения, которые повлияют на то, как люди пользуемся услугами.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Не являются новостными поводами: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rtl w:val="0"/>
        </w:rPr>
        <w:tab/>
        <w:t xml:space="preserve">«через неопределенный срок мы планируем запустить новую возможность»,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rtl w:val="0"/>
        </w:rPr>
        <w:tab/>
        <w:t xml:space="preserve">изменилось что-либо, что не влияет на поведение людей,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rtl w:val="0"/>
        </w:rPr>
        <w:tab/>
        <w:t xml:space="preserve">скоро изменится что-либо, что не влияет на поведение людей,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произошли изменения, которые касаются ограниченного круга пользователей.</w:t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gmbafbhqguo5" w:id="2"/>
      <w:bookmarkEnd w:id="2"/>
      <w:r w:rsidDel="00000000" w:rsidR="00000000" w:rsidRPr="00000000">
        <w:rPr>
          <w:rtl w:val="0"/>
        </w:rPr>
        <w:t xml:space="preserve">Миссия общения со СМИ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Миссия любой коммуникации со СМИ — помочь аудитории решить насущную проблему более просто, быстро, эффективно, без лишних затрат времени и сил; не пропустить крайний срок, не потерять льготу, не лишиться права на услугу; не оказаться в глупой ситуации.</w:t>
      </w:r>
    </w:p>
    <w:tbl>
      <w:tblPr>
        <w:tblStyle w:val="Table1"/>
        <w:bidi w:val="0"/>
        <w:tblW w:w="8445.0" w:type="dxa"/>
        <w:jc w:val="left"/>
        <w:tblInd w:w="555.0" w:type="dxa"/>
        <w:tblLayout w:type="fixed"/>
        <w:tblLook w:val="0600"/>
      </w:tblPr>
      <w:tblGrid>
        <w:gridCol w:w="4305"/>
        <w:gridCol w:w="4140"/>
        <w:tblGridChange w:id="0">
          <w:tblGrid>
            <w:gridCol w:w="4305"/>
            <w:gridCol w:w="41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Плохая миссия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Хорошая миссия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Рассказать, как стало хорошо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Рассказать, как у нас стало круто решать вашу проблему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Показать, что госуслуги молодцы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Показать, что нашим пользователям стало заметно лучше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Напугать сроками и штрафами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Помочь уложиться в дедлайн и не попасть на штрафы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Предупредить об отключении чего-либо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Помочь успеть до отключения и не попасть в глупую ситуацию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Пообещать светлое будущее, прорекламировать новую возможность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Помочь тем, кто вот-вот собирается за этой услугой, получить ее заметно легче с новой возможностью, которую мы вот-вот откроем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Напомнить о старой фиче, которая сейчас стала актуальной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Помочь тем, кто не знал об этой возможности, решить свою проблему проще и быстрее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hydty95z4eno" w:id="3"/>
      <w:bookmarkEnd w:id="3"/>
      <w:r w:rsidDel="00000000" w:rsidR="00000000" w:rsidRPr="00000000">
        <w:rPr>
          <w:rtl w:val="0"/>
        </w:rPr>
        <w:t xml:space="preserve">Общие принципы бренда и их трансляция в СМИ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fyy5xai2zy3k" w:id="4"/>
      <w:bookmarkEnd w:id="4"/>
      <w:r w:rsidDel="00000000" w:rsidR="00000000" w:rsidRPr="00000000">
        <w:rPr>
          <w:rtl w:val="0"/>
        </w:rPr>
        <w:t xml:space="preserve">1. Польза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Миссия госуслуг — помочь гражданам решать насущные проблемы. Главная ценность портала, мобильных приложений, групп в соцсетях и всей коммуникации — помогать гражданам решать насущные проблемы.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Следствия: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Любая коммуникация от лица бренда должна нести понятную людям пользу. Любое общение со СМИ должно транслировать эту пользу.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Польза от любой коммуникации должна быть ясно сформулирована.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Никакие информационные поводы, новости или выход новых возможностей портала, а также любые другие события и явления не могут становиться поводом для коммуникации до тех пор, пока не сформулирована понятная людям польза от этой коммуникации.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Например, если на региональном портале появилась новая возможность по оплате госуслуг с помощью банковских карт, то вся коммуникация должна опираться на пользу от нововведения — теперь гражданам не нужно стоять в очереди в банк. Это должно звучать в интервью, пресс-релизах и любой коммуникации в первую очередь. </w:t>
      </w:r>
    </w:p>
    <w:tbl>
      <w:tblPr>
        <w:tblStyle w:val="Table2"/>
        <w:bidi w:val="0"/>
        <w:tblW w:w="8370.0" w:type="dxa"/>
        <w:jc w:val="left"/>
        <w:tblInd w:w="630.0" w:type="dxa"/>
        <w:tblLayout w:type="fixed"/>
        <w:tblLook w:val="0600"/>
      </w:tblPr>
      <w:tblGrid>
        <w:gridCol w:w="4035"/>
        <w:gridCol w:w="4335"/>
        <w:tblGridChange w:id="0">
          <w:tblGrid>
            <w:gridCol w:w="4035"/>
            <w:gridCol w:w="433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Нет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Да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На портале госуслуг Нска теперь можно платить банковскими карточками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Н-чанам больше не нужно оплачивать госуслуги в банке. На портале госуслуг принимают карты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Новая услуга: получение разрешения на охоту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Охотиться стало легче: теперь разрешение на охоту можно получить через интернет на портале госуслуг</w:t>
            </w:r>
          </w:p>
        </w:tc>
      </w:tr>
    </w:tbl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dar4yzxswd8g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t9lwok10xfw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vvu4civkd25m" w:id="7"/>
      <w:bookmarkEnd w:id="7"/>
      <w:r w:rsidDel="00000000" w:rsidR="00000000" w:rsidRPr="00000000">
        <w:rPr>
          <w:rtl w:val="0"/>
        </w:rPr>
        <w:t xml:space="preserve">2. Простота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Госуслуги — это интерфейс между сложным государством и не менее сложной жизнью граждан. Миссия госуслуг — помочь гражданам решать насущные проблемы максимально просто, даже в тех областях, которые касаются сложных государственных процессов.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Следствия: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Любую коммуникацию нужно максимально упрощать. Избегать использование терминов и аббревиатур, канцеляризмов, сложных синтаксических и смысловых конструкций. При необходимости для этого можно пользоваться профессиональной помощью редакторов.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Любая коммуникация должна быть сложной ровно настолько, насколько это необходимо для решения насущной проблемы человека. Это значит, что если читателю для решения проблемы необязательно знать о технических, юридических или каких-то еще тонкостях работы госуслуг, то он не должен о них знать.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Если сущность, термин, аббревиатура или любой другой предмет коммуникации не влияют на поведение человека, то человек не должен о ней знать.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Рассмотрим пример. На портале появилась услуга получения сертификата на материнский капитал. Чтобы воспользоваться услугой, пользователь должен подтвердить учетную запись. Об этом можно сказать в пресс-релизе, можно сказать на сайте со ссылкой на раздел помощи, но в интервью о подтверждении личности нужно сказать в последнюю очередь или не сказать вообще.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Почему так: деталь о подтверждении личности — это техническая тонкость, которая не влияет на принятие принципиального решения о получении материнского капитала. Эту информацию нельзя скрывать, но и обращаться к ней нужно только тогда, когда она будет уместна и своевременна. 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b42dq63ycdet" w:id="8"/>
      <w:bookmarkEnd w:id="8"/>
      <w:r w:rsidDel="00000000" w:rsidR="00000000" w:rsidRPr="00000000">
        <w:rPr>
          <w:rtl w:val="0"/>
        </w:rPr>
        <w:t xml:space="preserve">3. Единство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Госуслуги — единая точка контакта человека с государством. У граждан должна складываться четкая связь, что госуслуги — это государство. По любым вопросам к государству обращаться к госуслугам.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Следствия: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В интервью, пресс-релизах и всей коммуникации через СМИ следует минимизировать количество названий сущностей, с которыми контактирует человек. По возможности исключить из коммуникации названия подсистем (например, ЕЛК, ЕАИЦ или ИПШ). Уменьшить количество названий организация, в которые человек обращается по тому или иному вопросу.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Если что-то корректно назвать госуслугами — это должно называться госуслугами.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Все региональные порталы следует называть «порталом госуслуг».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8220.0" w:type="dxa"/>
        <w:jc w:val="left"/>
        <w:tblInd w:w="780.0" w:type="dxa"/>
        <w:tblLayout w:type="fixed"/>
        <w:tblLook w:val="0600"/>
      </w:tblPr>
      <w:tblGrid>
        <w:gridCol w:w="3720"/>
        <w:gridCol w:w="4500"/>
        <w:tblGridChange w:id="0">
          <w:tblGrid>
            <w:gridCol w:w="3720"/>
            <w:gridCol w:w="45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Нет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Да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Войдите в ЕЛК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Войдите на Госуслуги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Воспользуйтесь ЕСИА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Войдите на Госуслуги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Запрос данных из ГИС ГМП...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Получаем информацию...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Ищите через Госбар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Введите в поиске (+ картинка)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78nu4rtspqer" w:id="9"/>
      <w:bookmarkEnd w:id="9"/>
      <w:r w:rsidDel="00000000" w:rsidR="00000000" w:rsidRPr="00000000">
        <w:rPr>
          <w:rtl w:val="0"/>
        </w:rPr>
        <w:t xml:space="preserve">В образовательных целях пользу — вперед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Иногда при общении со СМИ нам все-таки нужно объяснить, как что работает. Это материалы для любознательных. В таких случаях мы вынуждены называть системы.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Если текст направлен наружу, то есть аудитории СМИ, то в первую очередь стремимся назвать систему одним простым словом или знакомым человеку термином.</w:t>
      </w:r>
      <w:r w:rsidDel="00000000" w:rsidR="00000000" w:rsidRPr="00000000">
        <w:rPr>
          <w:rtl w:val="0"/>
        </w:rPr>
      </w:r>
    </w:p>
    <w:tbl>
      <w:tblPr>
        <w:tblStyle w:val="Table4"/>
        <w:bidi w:val="0"/>
        <w:tblW w:w="9015.0" w:type="dxa"/>
        <w:jc w:val="left"/>
        <w:tblLayout w:type="fixed"/>
        <w:tblLook w:val="0600"/>
      </w:tblPr>
      <w:tblGrid>
        <w:gridCol w:w="1485"/>
        <w:gridCol w:w="1845"/>
        <w:gridCol w:w="5685"/>
        <w:tblGridChange w:id="0">
          <w:tblGrid>
            <w:gridCol w:w="1485"/>
            <w:gridCol w:w="1845"/>
            <w:gridCol w:w="568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Сокращенно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Расшифровка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Название и пример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ЦПП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Центр поддержки пользователей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Служба поддержки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Если вам понадобится помощь — обратитесь </w:t>
            </w:r>
            <w:r w:rsidDel="00000000" w:rsidR="00000000" w:rsidRPr="00000000">
              <w:rPr>
                <w:b w:val="1"/>
                <w:rtl w:val="0"/>
              </w:rPr>
              <w:t xml:space="preserve">в службу поддержки</w:t>
            </w:r>
            <w:r w:rsidDel="00000000" w:rsidR="00000000" w:rsidRPr="00000000">
              <w:rPr>
                <w:rtl w:val="0"/>
              </w:rPr>
              <w:t xml:space="preserve">. Сотрудники службы помогут…</w:t>
              <w:br w:type="textWrapping"/>
              <w:br w:type="textWrapping"/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ФРГУ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Федеральный реестр госуслуг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Реестр госуслуг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Все госуслуги России хранятся </w:t>
            </w:r>
            <w:r w:rsidDel="00000000" w:rsidR="00000000" w:rsidRPr="00000000">
              <w:rPr>
                <w:b w:val="1"/>
                <w:rtl w:val="0"/>
              </w:rPr>
              <w:t xml:space="preserve">в реестре госуслуг</w:t>
            </w:r>
            <w:r w:rsidDel="00000000" w:rsidR="00000000" w:rsidRPr="00000000">
              <w:rPr>
                <w:rtl w:val="0"/>
              </w:rPr>
              <w:t xml:space="preserve"> — это сайт, на котором чиновники обновляют информацию о тех услугах, которые они оказывают людям. </w:t>
            </w:r>
            <w:r w:rsidDel="00000000" w:rsidR="00000000" w:rsidRPr="00000000">
              <w:rPr>
                <w:b w:val="1"/>
                <w:rtl w:val="0"/>
              </w:rPr>
              <w:t xml:space="preserve">Реестр</w:t>
            </w:r>
            <w:r w:rsidDel="00000000" w:rsidR="00000000" w:rsidRPr="00000000">
              <w:rPr>
                <w:rtl w:val="0"/>
              </w:rPr>
              <w:t xml:space="preserve"> работает на сайте...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ЕЛК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Единый личный кабинет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Личный кабинет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Чтобы вам было удобно следить за своими обращениями, мы создали </w:t>
            </w:r>
            <w:r w:rsidDel="00000000" w:rsidR="00000000" w:rsidRPr="00000000">
              <w:rPr>
                <w:b w:val="1"/>
                <w:rtl w:val="0"/>
              </w:rPr>
              <w:t xml:space="preserve">личный кабинет </w:t>
            </w:r>
            <w:r w:rsidDel="00000000" w:rsidR="00000000" w:rsidRPr="00000000">
              <w:rPr>
                <w:rtl w:val="0"/>
              </w:rPr>
              <w:t xml:space="preserve"> — это место на сайте, где видны те госуслуги, которыми вы пользуетесь. </w:t>
            </w:r>
            <w:r w:rsidDel="00000000" w:rsidR="00000000" w:rsidRPr="00000000">
              <w:rPr>
                <w:b w:val="1"/>
                <w:rtl w:val="0"/>
              </w:rPr>
              <w:t xml:space="preserve">В личном кабинете</w:t>
            </w:r>
            <w:r w:rsidDel="00000000" w:rsidR="00000000" w:rsidRPr="00000000">
              <w:rPr>
                <w:rtl w:val="0"/>
              </w:rPr>
              <w:t xml:space="preserve"> мы показываем…</w:t>
              <w:br w:type="textWrapping"/>
              <w:br w:type="textWrapping"/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ИПШ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Информационно-платежный шлюз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(Специальная) платежная система 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Платежи за госуслуги проводит </w:t>
            </w:r>
            <w:r w:rsidDel="00000000" w:rsidR="00000000" w:rsidRPr="00000000">
              <w:rPr>
                <w:b w:val="1"/>
                <w:rtl w:val="0"/>
              </w:rPr>
              <w:t xml:space="preserve">специальная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платежная система</w:t>
            </w:r>
            <w:r w:rsidDel="00000000" w:rsidR="00000000" w:rsidRPr="00000000">
              <w:rPr>
                <w:rtl w:val="0"/>
              </w:rPr>
              <w:t xml:space="preserve">, которая отвечает за то, чтобы ваши деньги поступили в нужное ведомство и были правильно зачислены. </w:t>
            </w:r>
            <w:r w:rsidDel="00000000" w:rsidR="00000000" w:rsidRPr="00000000">
              <w:rPr>
                <w:b w:val="1"/>
                <w:rtl w:val="0"/>
              </w:rPr>
              <w:t xml:space="preserve">Платежная система</w:t>
            </w:r>
            <w:r w:rsidDel="00000000" w:rsidR="00000000" w:rsidRPr="00000000">
              <w:rPr>
                <w:rtl w:val="0"/>
              </w:rPr>
              <w:t xml:space="preserve"> госуслуг работает так же, как и…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ГИС ГМП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Система государственных и муниципальных платежей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(Специальная) база платежей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Все платежи и задолженности хранятся в </w:t>
            </w:r>
            <w:r w:rsidDel="00000000" w:rsidR="00000000" w:rsidRPr="00000000">
              <w:rPr>
                <w:b w:val="1"/>
                <w:rtl w:val="0"/>
              </w:rPr>
              <w:t xml:space="preserve">базе платежей</w:t>
              <w:br w:type="textWrapping"/>
              <w:br w:type="textWrapping"/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ИОД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Инфраструктура общественного доступа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Инфомат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В отделении пенсионного фонда стоят </w:t>
            </w:r>
            <w:r w:rsidDel="00000000" w:rsidR="00000000" w:rsidRPr="00000000">
              <w:rPr>
                <w:b w:val="1"/>
                <w:rtl w:val="0"/>
              </w:rPr>
              <w:t xml:space="preserve">инфоматы</w:t>
            </w:r>
            <w:r w:rsidDel="00000000" w:rsidR="00000000" w:rsidRPr="00000000">
              <w:rPr>
                <w:rtl w:val="0"/>
              </w:rPr>
              <w:t xml:space="preserve"> — терминалы с экранами, на которых можно…</w:t>
              <w:br w:type="textWrapping"/>
              <w:br w:type="textWrapping"/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ФГИС ДО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Информационная система досудебного обжалования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(Система) досудебного обжалования</w:t>
              <w:br w:type="textWrapping"/>
              <w:br w:type="textWrapping"/>
              <w:t xml:space="preserve">Подключайте свои услуги к системе досудебного обжалования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ГЭПС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Гос. электр. почтовая система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Государственная электронная почта, электронная госпочта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Приглашение вам придет </w:t>
            </w:r>
            <w:r w:rsidDel="00000000" w:rsidR="00000000" w:rsidRPr="00000000">
              <w:rPr>
                <w:b w:val="1"/>
                <w:rtl w:val="0"/>
              </w:rPr>
              <w:t xml:space="preserve">по электронной госпочте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Когда документы будут готовы, мы сообщим вам по электронной госпочте на адрес maxim.ilyahov@yandex.ru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41h367sbdtnp" w:id="10"/>
      <w:bookmarkEnd w:id="10"/>
      <w:r w:rsidDel="00000000" w:rsidR="00000000" w:rsidRPr="00000000">
        <w:rPr>
          <w:rtl w:val="0"/>
        </w:rPr>
        <w:t xml:space="preserve">Наименование портала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 устном (и любом другом общении) портал всегда называется «порталом госуслуг», других вариантов названия нет.</w:t>
      </w:r>
    </w:p>
    <w:tbl>
      <w:tblPr>
        <w:tblStyle w:val="Table5"/>
        <w:bidi w:val="0"/>
        <w:tblW w:w="8565.0" w:type="dxa"/>
        <w:jc w:val="left"/>
        <w:tblInd w:w="435.0" w:type="dxa"/>
        <w:tblLayout w:type="fixed"/>
        <w:tblLook w:val="0600"/>
      </w:tblPr>
      <w:tblGrid>
        <w:gridCol w:w="4245"/>
        <w:gridCol w:w="4320"/>
        <w:tblGridChange w:id="0">
          <w:tblGrid>
            <w:gridCol w:w="4245"/>
            <w:gridCol w:w="43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Нет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Да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Единый портал государственных услуг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Портал госуслуг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Единый портал федеральных государственных услуг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Единый портал госуслуг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Единый государственный портал федеральных госуслуг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28furgmgfmrm" w:id="11"/>
      <w:bookmarkEnd w:id="11"/>
      <w:r w:rsidDel="00000000" w:rsidR="00000000" w:rsidRPr="00000000">
        <w:rPr>
          <w:rtl w:val="0"/>
        </w:rPr>
        <w:t xml:space="preserve">Названия услуг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Название услуги должно быть сформулировано на бытовом языке, без технических терминов и канцеляризмов, вне зависимости от официального названия услуги. Задача названия — обратиться к аудитории на понятном им языке, а не передать суть услуги с максимальной точностью. В названии понятность важнее точности:</w:t>
      </w:r>
    </w:p>
    <w:tbl>
      <w:tblPr>
        <w:tblStyle w:val="Table6"/>
        <w:bidi w:val="0"/>
        <w:tblW w:w="8340.0" w:type="dxa"/>
        <w:jc w:val="left"/>
        <w:tblInd w:w="660.0" w:type="dxa"/>
        <w:tblLayout w:type="fixed"/>
        <w:tblLook w:val="0600"/>
      </w:tblPr>
      <w:tblGrid>
        <w:gridCol w:w="4155"/>
        <w:gridCol w:w="4185"/>
        <w:tblGridChange w:id="0">
          <w:tblGrid>
            <w:gridCol w:w="4155"/>
            <w:gridCol w:w="418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Нет: формально верно, но сложно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Да: формально неверно, но понятно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Постановка на учет ТС</w:t>
              <w:br w:type="textWrapping"/>
              <w:t xml:space="preserve">Постановка на учет транспортных средств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Постановка машины на учет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Получение сведения о состоянии индивидуального пенсионного счета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Проверка пенсионного счета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Получение права на управление ТС</w:t>
              <w:br w:type="textWrapping"/>
              <w:t xml:space="preserve">Получение прав на управление транспортным средством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Получение водительских прав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Если из-за упрощения были потеряны некоторые смысловые элементы, то их нужно объяснить в первом абзаце объяснения. Например, постановка на учет транспортного средства подразумевает не только машину, но и мотоциклы и другие ТС. Поэтому в первом абзаце пишем уточнение: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Если вы купили машину, мотоцикл или другое транспортное средство...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 этом в заголовке должна быть максимально простая формулировка на бытовом языке, а не формально точная всеобъемлющая конструкция. 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x4ejbajzyyed" w:id="12"/>
      <w:bookmarkEnd w:id="12"/>
      <w:r w:rsidDel="00000000" w:rsidR="00000000" w:rsidRPr="00000000">
        <w:rPr>
          <w:rtl w:val="0"/>
        </w:rPr>
        <w:t xml:space="preserve">Формулирование жизненных</w:t>
      </w:r>
      <w:r w:rsidDel="00000000" w:rsidR="00000000" w:rsidRPr="00000000">
        <w:rPr>
          <w:rtl w:val="0"/>
        </w:rPr>
        <w:t xml:space="preserve"> ситуаций и преимуществ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 первом абзаце после названия необходимо описать жизненную ситуацию, в которой потребуется услуга, и объяснить преимущества электронной услуги перед личным посещением ведомстав: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Если вы купили машину, мотоцикл или другое транспортное средство, его нужно поставить на учет в отделении ГИБДД и получить свидетельство о госрегистрации. Электронная госуслуга поможет легко подать документы на регистрацию.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Если вам исполнилось 20 или 45 лет, у вас испортился или потерялся паспорт, изменилось имя, личные данные или внешность, эта услуга для вас. С ее помощью вы легко подадите документы на новый паспорт и вас пригласят, чтобы его получить.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Если у вас родился ребенок и вы собираетесь отдавать его в детский садик, задумайтесь заранее о том, чтобы занять место. Для этого достаточно подать заявление на сайте госуслуг, и вам сообщат, когда очередь подойдет.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Объяснение жизненной ситуации можно начинать с фраз «Если» или «Когда», можно обращаться на «вы».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Нельзя писать «вы» с заглавной буквы. Нельзя использовать длинные перечисления случаев или ситуаций (более пяти). Если нужно перечислить много случаев, то они группируются:</w:t>
      </w:r>
    </w:p>
    <w:tbl>
      <w:tblPr>
        <w:tblStyle w:val="Table7"/>
        <w:bidi w:val="0"/>
        <w:tblW w:w="8340.0" w:type="dxa"/>
        <w:jc w:val="left"/>
        <w:tblInd w:w="660.0" w:type="dxa"/>
        <w:tblLayout w:type="fixed"/>
        <w:tblLook w:val="0600"/>
      </w:tblPr>
      <w:tblGrid>
        <w:gridCol w:w="4155"/>
        <w:gridCol w:w="4185"/>
        <w:tblGridChange w:id="0">
          <w:tblGrid>
            <w:gridCol w:w="4155"/>
            <w:gridCol w:w="4185"/>
          </w:tblGrid>
        </w:tblGridChange>
      </w:tblGrid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Нет: формально верно, но слишком много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Да: сгруппировано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У вас изменилось имя, фамилия, отчество, пол или внешность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У вас изменились личные данные или внешность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 конце абзаца формулируется польза: что дает использование услуги. Допустимо писать о простой подаче документов, оформлении документов через интернет, помощи со стороны портала и любых других преимуществах.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before="240" w:lineRule="auto"/>
        <w:contextualSpacing w:val="0"/>
      </w:pPr>
      <w:bookmarkStart w:colFirst="0" w:colLast="0" w:name="h.eq0y7v27k8jl" w:id="13"/>
      <w:bookmarkEnd w:id="13"/>
      <w:r w:rsidDel="00000000" w:rsidR="00000000" w:rsidRPr="00000000">
        <w:rPr>
          <w:rtl w:val="0"/>
        </w:rPr>
        <w:t xml:space="preserve">Универсальная структура пресс-релиза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Что произошло?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Что вы имеете в виду? (Подробнее)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Что мне с этим делать? (Памятка)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Как было раньше? (Сравнить)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Какие ограничения? (Если есть)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Почему вообще так? (Объяснение фоновой информации)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Кто вы такие? (Что такое и зачем нужны госуслуги)</w:t>
      </w:r>
    </w:p>
    <w:tbl>
      <w:tblPr>
        <w:tblStyle w:val="Table8"/>
        <w:bidi w:val="0"/>
        <w:tblW w:w="9000.0" w:type="dxa"/>
        <w:jc w:val="left"/>
        <w:tblLayout w:type="fixed"/>
        <w:tblLook w:val="0600"/>
      </w:tblPr>
      <w:tblGrid>
        <w:gridCol w:w="1755"/>
        <w:gridCol w:w="7245"/>
        <w:tblGridChange w:id="0">
          <w:tblGrid>
            <w:gridCol w:w="1755"/>
            <w:gridCol w:w="724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 Что?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Теперь зарегистрироваться и подтвердить личность на госуслугах можно в банке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 Конкретно?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Теперь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зарегистрироваться и подтвердить личность на портале госуслуг можно в банке. Для этого приходите в отделение банка, которое участвует в проекте: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 Что теперь?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{Перечисляем все отделения, в которые можно прийти}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Для регистрации возьмите с собой {паспорт и страховое свидетельство}. Быть клиентом банка необязательно. Предварительно регистрироваться на портале госуслуг необязательно.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{Картинка: паспорт и св-во}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Все, что нужно, чтобы получить все электронные госуслуги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4. А как раньше?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Раньше, чтобы подтвердить личность, нужно было дождаться письма по почте, посетить центр обслуживания или воспользоваться электронной подписью. Теперь к этим способам добавились банки. Это особенно удобно для тех, кто живет возле отделений.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5. Ограничения?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Регистрация доступна только в банках, которые участвуюит в пилотном проекте.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6. Почему?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Зачем регистрироваться на госуслугах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Пользователи госуслуг оплачивают штрафы ГИБДД, подают заявления на загранпаспорт, записывают ребенка в детский сад, получают выписку с пенсионного счета и меняют адрес регистрации через интернет. Чтобы защитить интересы граждан, мы просим пользователей подтвердить личность. Так мы узнаем, что вы действительно хотите сменить адрес регистрации или оформить новый загранпаспорт.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Есть три уровня доступа к госуслугам через портал. Для каждого нужна личная информация: {Таблица с уровнями доступа}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7. Кто вы?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Портал госуслуг помогает гражданам общаться с государством, получать государственную помощь и решать повседневные проблемы. С 2010 года мы делаем портал удобнее: упрощаем регистрацию, повышаем надежность и расширяем спектр услуг. В 2015 году в пробном режиме открылась новая версия портала: beta.gosuslugi.ru. Регистрация через банки — еще один шаг на пути упрощения регистрацией. Госуслуги — это проще, чем кажется.</w:t>
            </w:r>
          </w:p>
        </w:tc>
      </w:tr>
    </w:tbl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1ugi54q30k5c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bemqtlixt4km" w:id="15"/>
      <w:bookmarkEnd w:id="15"/>
      <w:r w:rsidDel="00000000" w:rsidR="00000000" w:rsidRPr="00000000">
        <w:rPr>
          <w:rtl w:val="0"/>
        </w:rPr>
        <w:t xml:space="preserve">Стиль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Коммуникация госуслуг ведется в информационном стиле на основе разработок М. Ильяхова. В качестве оформительского стандарта при необходимости используются рекомендации А. Э. Мильчина.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Основные критерии информационного стиля:</w:t>
      </w:r>
    </w:p>
    <w:p w:rsidR="00000000" w:rsidDel="00000000" w:rsidP="00000000" w:rsidRDefault="00000000" w:rsidRPr="00000000">
      <w:pPr>
        <w:spacing w:after="12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текст организован вокруг прагматической пользы для читателя;</w:t>
      </w:r>
    </w:p>
    <w:p w:rsidR="00000000" w:rsidDel="00000000" w:rsidP="00000000" w:rsidRDefault="00000000" w:rsidRPr="00000000">
      <w:pPr>
        <w:spacing w:after="12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текст опирается на факты и чувственный опыт читателя;</w:t>
      </w:r>
    </w:p>
    <w:p w:rsidR="00000000" w:rsidDel="00000000" w:rsidP="00000000" w:rsidRDefault="00000000" w:rsidRPr="00000000">
      <w:pPr>
        <w:spacing w:after="12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в тексте нет канцелярских, рекламных, бытовых и профессиональных штампов;</w:t>
      </w:r>
    </w:p>
    <w:p w:rsidR="00000000" w:rsidDel="00000000" w:rsidP="00000000" w:rsidRDefault="00000000" w:rsidRPr="00000000">
      <w:pPr>
        <w:spacing w:after="12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основные глаголы текста в действительном залоге и изъявительном наклонении;</w:t>
      </w:r>
    </w:p>
    <w:p w:rsidR="00000000" w:rsidDel="00000000" w:rsidP="00000000" w:rsidRDefault="00000000" w:rsidRPr="00000000">
      <w:pPr>
        <w:spacing w:after="12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подлежащие-субъекты;</w:t>
      </w:r>
    </w:p>
    <w:p w:rsidR="00000000" w:rsidDel="00000000" w:rsidP="00000000" w:rsidRDefault="00000000" w:rsidRPr="00000000">
      <w:pPr>
        <w:spacing w:after="12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в тексте нет избыточных однородных членов, вводных конструкций, причастных и деепричастных оборотов;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при проверке в сервисе «Главред» (glvrd.ru) текст оценивается в 7 баллов по шкале Главреда или выше.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Сотрудники госуслуг должны говорить на простом русском языке. Нельзя использовать канцеляризмы, журналистские и рекламные штампы:</w:t>
      </w:r>
    </w:p>
    <w:tbl>
      <w:tblPr>
        <w:tblStyle w:val="Table9"/>
        <w:bidi w:val="0"/>
        <w:tblW w:w="8565.0" w:type="dxa"/>
        <w:jc w:val="left"/>
        <w:tblInd w:w="435.0" w:type="dxa"/>
        <w:tblLayout w:type="fixed"/>
        <w:tblLook w:val="0600"/>
      </w:tblPr>
      <w:tblGrid>
        <w:gridCol w:w="4245"/>
        <w:gridCol w:w="4320"/>
        <w:tblGridChange w:id="0">
          <w:tblGrid>
            <w:gridCol w:w="4245"/>
            <w:gridCol w:w="43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Нет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Да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Мы принимаем меры по улучшению...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Мы улучшаем...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Благодарим вас за то, что вы принимаете активное участие...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Спасибо, что участвуете...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Подтвердить факт регистрации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Подтвердить регистрацию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Надлежащим образом уведомить ведомство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Сообщить в ведомство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В порядке установления личности</w:t>
              <w:br w:type="textWrapping"/>
              <w:t xml:space="preserve">В целях установления личности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Чтобы убедиться, что это вы запросили...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Планируется проведение работ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Мы будем ремонтировать...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Во избежание утери пароля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Чтобы не потерять пароль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В целях повышения качества обслуживания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Чтобы помочь вам лучше разобраться в госуслугах...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Просим вас своевременно оплачивать...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Пожалуйста, оплачивайте хотя бы за две недели...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Согласно статье...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 закону...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Убедительная просьба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Пожалуйста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Проверить компьютер на наличие интернет-соединения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Проверьте, работает ли у вас интернет. Для этого...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В случае невозможности...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Если не можете...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Характерная особенность канцелярского стиля — он звучит официально. Сотрудники госуслуг должны субъективно оценивать текст на официальность и переводить общение из официального регистра в дружелюбно-нейтральный.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2rrdzpe1uo04" w:id="16"/>
      <w:bookmarkEnd w:id="16"/>
      <w:r w:rsidDel="00000000" w:rsidR="00000000" w:rsidRPr="00000000">
        <w:rPr>
          <w:rtl w:val="0"/>
        </w:rPr>
        <w:t xml:space="preserve">См. также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rtl w:val="0"/>
        </w:rPr>
        <w:t xml:space="preserve">Мильчин А. Э., Чельцова Л. Н. Справочник издателя и автора. ИЗДАЛ, 2012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rtl w:val="0"/>
        </w:rPr>
        <w:t xml:space="preserve">Ильяхов М. Советы.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http://maximilyahov.ru/soviet/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rtl w:val="0"/>
        </w:rPr>
        <w:t xml:space="preserve">Ильяхов М. Чувственный опыт.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http://maximilyahov.ru/blog/all/feel/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Ильяхов М., Буров А. Главред.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http://glvrd.ru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1440.0000000000002" w:right="144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spacing w:after="0" w:before="28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  <w:contextualSpacing w:val="1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  <w:contextualSpacing w:val="1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  <w:contextualSpacing w:val="1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maximilyahov.ru/soviet/" TargetMode="External"/><Relationship Id="rId6" Type="http://schemas.openxmlformats.org/officeDocument/2006/relationships/hyperlink" Target="http://maximilyahov.ru/blog/all/feel/" TargetMode="External"/><Relationship Id="rId7" Type="http://schemas.openxmlformats.org/officeDocument/2006/relationships/hyperlink" Target="http://glvrd.ru" TargetMode="External"/></Relationships>
</file>